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Краткая информация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х</w:t>
      </w:r>
      <w:r>
        <w:rPr>
          <w:rFonts w:ascii="Times New Roman" w:hAnsi="Times New Roman" w:cs="Times New Roman"/>
          <w:b/>
          <w:sz w:val="28"/>
          <w:szCs w:val="28"/>
        </w:rPr>
        <w:t xml:space="preserve">, планируемых</w:t>
      </w:r>
      <w:r>
        <w:rPr>
          <w:rFonts w:ascii="Times New Roman" w:hAnsi="Times New Roman" w:cs="Times New Roman"/>
          <w:b/>
          <w:sz w:val="28"/>
          <w:szCs w:val="28"/>
        </w:rPr>
        <w:t xml:space="preserve"> к </w:t>
      </w:r>
      <w:r>
        <w:rPr>
          <w:rFonts w:ascii="Times New Roman" w:hAnsi="Times New Roman" w:cs="Times New Roman"/>
          <w:b/>
          <w:sz w:val="28"/>
          <w:szCs w:val="28"/>
        </w:rPr>
        <w:t xml:space="preserve">объявлению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министерством науки и инновационной политики Новосибирской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</w:t>
      </w:r>
      <w:bookmarkStart w:id="0" w:name="_GoBack"/>
      <w:r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30.01.2024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Именные премии Правительства Новосибирской области за выдающиеся научные достижения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Нормативный документ: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Новосибирской области от </w:t>
      </w:r>
      <w:r>
        <w:rPr>
          <w:rFonts w:ascii="Times New Roman" w:hAnsi="Times New Roman" w:cs="Times New Roman"/>
          <w:sz w:val="28"/>
          <w:szCs w:val="28"/>
        </w:rPr>
        <w:t xml:space="preserve">15</w:t>
      </w:r>
      <w:r>
        <w:rPr>
          <w:rFonts w:ascii="Times New Roman" w:hAnsi="Times New Roman" w:cs="Times New Roman"/>
          <w:sz w:val="28"/>
          <w:szCs w:val="28"/>
        </w:rPr>
        <w:t xml:space="preserve">.11.2010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№</w:t>
      </w:r>
      <w:r>
        <w:rPr>
          <w:rFonts w:ascii="Times New Roman" w:hAnsi="Times New Roman" w:cs="Times New Roman"/>
          <w:sz w:val="28"/>
          <w:szCs w:val="28"/>
        </w:rPr>
        <w:t xml:space="preserve"> 212-п</w:t>
      </w:r>
      <w:r>
        <w:rPr>
          <w:rFonts w:ascii="Times New Roman" w:hAnsi="Times New Roman" w:cs="Times New Roman"/>
          <w:sz w:val="28"/>
          <w:szCs w:val="28"/>
        </w:rPr>
        <w:t xml:space="preserve"> «Об именных премиях Правительства Н</w:t>
      </w:r>
      <w:r>
        <w:rPr>
          <w:rFonts w:ascii="Times New Roman" w:hAnsi="Times New Roman" w:cs="Times New Roman"/>
          <w:sz w:val="28"/>
          <w:szCs w:val="28"/>
        </w:rPr>
        <w:t xml:space="preserve">овосибирской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именных ст</w:t>
      </w:r>
      <w:r>
        <w:rPr>
          <w:rFonts w:ascii="Times New Roman" w:hAnsi="Times New Roman" w:cs="Times New Roman"/>
          <w:sz w:val="28"/>
          <w:szCs w:val="28"/>
        </w:rPr>
        <w:t xml:space="preserve">ипендиях П</w:t>
      </w:r>
      <w:r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овосибирской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грантах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овосибирской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присуждения: 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Именная премия присуждается Правительством Новосибирской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и является признанием заслуг граждан Российской Федерации - научных работников научных организаций и научно-педагогических работников образовательных организаций высшего образования, расположенных 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Новосибирской области, получивших за последние 5 лет научные результаты фундаментального и прикладного характера, способствовавшие социально-экономическому развитию Новосибирской области и (или) росту ее престижа, и внесших значительный вклад: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развитие естественных, технических и гуманитарных наук, обеспечивающих инновационное развитие экономики и социальной сферы Новосибирской области;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разработку и промышленное освоение образцов новой техники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прогрессивных технологий, обеспечивающих инновационное развитие экономики и социальной сферы Новосибирской области.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Размер поддержки: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Именная премия присуждается соискателю по направлениям, указанным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в Перечне направлений научных исследований, утвержденном</w:t>
      </w:r>
      <w:r>
        <w:rPr>
          <w:rFonts w:ascii="Times New Roman" w:hAnsi="Times New Roman" w:cs="Times New Roman"/>
          <w:sz w:val="28"/>
          <w:szCs w:val="28"/>
        </w:rPr>
        <w:t xml:space="preserve"> приложением №4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 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Новос</w:t>
      </w:r>
      <w:r>
        <w:rPr>
          <w:rFonts w:ascii="Times New Roman" w:hAnsi="Times New Roman" w:cs="Times New Roman"/>
          <w:sz w:val="28"/>
          <w:szCs w:val="28"/>
        </w:rPr>
        <w:t xml:space="preserve">ибирской области от 15.11.2010 №</w:t>
      </w:r>
      <w:r>
        <w:rPr>
          <w:rFonts w:ascii="Times New Roman" w:hAnsi="Times New Roman" w:cs="Times New Roman"/>
          <w:sz w:val="28"/>
          <w:szCs w:val="28"/>
        </w:rPr>
        <w:t xml:space="preserve"> 212-п,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конкурса в одной из номинаций: «Лучший молодой исследователь»; «Лучший молодой изобретатель»; «Лучший научный руководитель»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номинации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«Лучший молодой исследователь»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именная премия побе</w:t>
      </w:r>
      <w:r>
        <w:rPr>
          <w:rFonts w:ascii="Times New Roman" w:hAnsi="Times New Roman" w:cs="Times New Roman"/>
          <w:sz w:val="28"/>
          <w:szCs w:val="28"/>
        </w:rPr>
        <w:t xml:space="preserve">дителю в размере </w:t>
      </w:r>
      <w:r>
        <w:rPr>
          <w:rFonts w:ascii="Times New Roman" w:hAnsi="Times New Roman" w:cs="Times New Roman"/>
          <w:sz w:val="28"/>
          <w:szCs w:val="28"/>
        </w:rPr>
        <w:t xml:space="preserve">183300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. Ежегодно присуждается 13 именных премий.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номинации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«Лучший молодой изобретатель»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именная </w:t>
      </w:r>
      <w:r>
        <w:rPr>
          <w:rFonts w:ascii="Times New Roman" w:hAnsi="Times New Roman" w:cs="Times New Roman"/>
          <w:sz w:val="28"/>
          <w:szCs w:val="28"/>
        </w:rPr>
        <w:t xml:space="preserve">премия победителю в размере: </w:t>
      </w:r>
      <w:r>
        <w:rPr>
          <w:rFonts w:ascii="Times New Roman" w:hAnsi="Times New Roman" w:cs="Times New Roman"/>
          <w:sz w:val="28"/>
          <w:szCs w:val="28"/>
        </w:rPr>
        <w:t xml:space="preserve">244400 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ублей для премии первой степени; 183400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</w:t>
      </w:r>
      <w:r>
        <w:rPr>
          <w:rFonts w:ascii="Times New Roman" w:hAnsi="Times New Roman" w:cs="Times New Roman"/>
          <w:sz w:val="28"/>
          <w:szCs w:val="28"/>
        </w:rPr>
        <w:t xml:space="preserve">блей для премии второй степени; 152800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 для премии третьей степени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Ежегодн</w:t>
      </w:r>
      <w:r>
        <w:rPr>
          <w:rFonts w:ascii="Times New Roman" w:hAnsi="Times New Roman" w:cs="Times New Roman"/>
          <w:sz w:val="28"/>
          <w:szCs w:val="28"/>
        </w:rPr>
        <w:t xml:space="preserve">о присуждается 3 именных премии.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номинации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«Лучший 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именная премия победителю в размере: </w:t>
      </w:r>
      <w:r>
        <w:rPr>
          <w:rFonts w:ascii="Times New Roman" w:hAnsi="Times New Roman" w:cs="Times New Roman"/>
          <w:sz w:val="28"/>
          <w:szCs w:val="28"/>
        </w:rPr>
        <w:t xml:space="preserve">233000 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ублей для премии первой степени; </w:t>
      </w:r>
      <w:r>
        <w:rPr>
          <w:rFonts w:ascii="Times New Roman" w:hAnsi="Times New Roman" w:cs="Times New Roman"/>
          <w:sz w:val="28"/>
          <w:szCs w:val="28"/>
        </w:rPr>
        <w:t xml:space="preserve">174750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</w:t>
      </w:r>
      <w:r>
        <w:rPr>
          <w:rFonts w:ascii="Times New Roman" w:hAnsi="Times New Roman" w:cs="Times New Roman"/>
          <w:sz w:val="28"/>
          <w:szCs w:val="28"/>
        </w:rPr>
        <w:t xml:space="preserve">блей для премии второй степени; </w:t>
      </w:r>
      <w:r>
        <w:rPr>
          <w:rFonts w:ascii="Times New Roman" w:hAnsi="Times New Roman" w:cs="Times New Roman"/>
          <w:sz w:val="28"/>
          <w:szCs w:val="28"/>
        </w:rPr>
        <w:t xml:space="preserve">145625 </w:t>
      </w:r>
      <w:r>
        <w:rPr>
          <w:rFonts w:ascii="Times New Roman" w:hAnsi="Times New Roman" w:cs="Times New Roman"/>
          <w:sz w:val="28"/>
          <w:szCs w:val="28"/>
        </w:rPr>
        <w:t xml:space="preserve">рублей для премии третьей степени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Ежегодн</w:t>
      </w:r>
      <w:r>
        <w:rPr>
          <w:rFonts w:ascii="Times New Roman" w:hAnsi="Times New Roman" w:cs="Times New Roman"/>
          <w:sz w:val="28"/>
          <w:szCs w:val="28"/>
        </w:rPr>
        <w:t xml:space="preserve">о присуждается 3 именных премии.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Категория соискателей: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Соискателями на получен</w:t>
      </w:r>
      <w:r>
        <w:rPr>
          <w:rFonts w:ascii="Times New Roman" w:hAnsi="Times New Roman" w:cs="Times New Roman"/>
          <w:sz w:val="28"/>
          <w:szCs w:val="28"/>
        </w:rPr>
        <w:t xml:space="preserve">ие именной премии в номинациях «Лучший молодой исследователь» и «Лучший молодой изобретатель»</w:t>
      </w:r>
      <w:r>
        <w:rPr>
          <w:rFonts w:ascii="Times New Roman" w:hAnsi="Times New Roman" w:cs="Times New Roman"/>
          <w:sz w:val="28"/>
          <w:szCs w:val="28"/>
        </w:rPr>
        <w:t xml:space="preserve"> выступают: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научные работники, научно-педагогические работники в возрасте до 35 лет (включительно) на дату подачи документов для участия в конкурсе, имеющие ученую степень кандидата наук;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научные работники, научно-педагогические работники в возрасте до 40 лет (включительно) на дату подачи документов, имеющие степень доктора наук.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Соискателями на получе</w:t>
      </w:r>
      <w:r>
        <w:rPr>
          <w:rFonts w:ascii="Times New Roman" w:hAnsi="Times New Roman" w:cs="Times New Roman"/>
          <w:sz w:val="28"/>
          <w:szCs w:val="28"/>
        </w:rPr>
        <w:t xml:space="preserve">ние именной премии в номинации «</w:t>
      </w:r>
      <w:r>
        <w:rPr>
          <w:rFonts w:ascii="Times New Roman" w:hAnsi="Times New Roman" w:cs="Times New Roman"/>
          <w:sz w:val="28"/>
          <w:szCs w:val="28"/>
        </w:rPr>
        <w:t xml:space="preserve">Лучший 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выступают научные работники, научно-педаго</w:t>
      </w:r>
      <w:r>
        <w:rPr>
          <w:rFonts w:ascii="Times New Roman" w:hAnsi="Times New Roman" w:cs="Times New Roman"/>
          <w:sz w:val="28"/>
          <w:szCs w:val="28"/>
        </w:rPr>
        <w:t xml:space="preserve">гические работники, имеющие ученую степень кандидата наук либо доктора наук в возрасте до 40 лет (включительно) на дату подачи документов, осуществляющие руководство научно-исследовательской деятельностью студентов, аспирантов, докторантов, молодых ученых.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и требования к отчетности: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Отчеты не предоставляются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Контактные данные: 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Ямалова Камилла Идрисовна, главный эксперт министерства науки и инновационной по</w:t>
      </w:r>
      <w:r>
        <w:rPr>
          <w:rFonts w:ascii="Times New Roman" w:hAnsi="Times New Roman" w:cs="Times New Roman"/>
          <w:sz w:val="28"/>
          <w:szCs w:val="28"/>
        </w:rPr>
        <w:t xml:space="preserve">литики Новосибирской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тел.: 228 63 </w:t>
      </w:r>
      <w:r>
        <w:rPr>
          <w:rFonts w:ascii="Times New Roman" w:hAnsi="Times New Roman" w:cs="Times New Roman"/>
          <w:sz w:val="28"/>
          <w:szCs w:val="28"/>
        </w:rPr>
        <w:t xml:space="preserve">40,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yaki</w:t>
      </w:r>
      <w:r>
        <w:rPr>
          <w:rFonts w:ascii="Times New Roman" w:hAnsi="Times New Roman" w:cs="Times New Roman"/>
          <w:sz w:val="28"/>
          <w:szCs w:val="28"/>
        </w:rPr>
        <w:t xml:space="preserve">@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nso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ru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Подробная информация размещена по адресу: 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http://nauka.nso.ru/page/232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Именные стипендий Правительства Новосибирской области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Нормативный документ: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Новосибирской области от </w:t>
      </w:r>
      <w:r>
        <w:rPr>
          <w:rFonts w:ascii="Times New Roman" w:hAnsi="Times New Roman" w:cs="Times New Roman"/>
          <w:sz w:val="28"/>
          <w:szCs w:val="28"/>
        </w:rPr>
        <w:t xml:space="preserve">15</w:t>
      </w:r>
      <w:r>
        <w:rPr>
          <w:rFonts w:ascii="Times New Roman" w:hAnsi="Times New Roman" w:cs="Times New Roman"/>
          <w:sz w:val="28"/>
          <w:szCs w:val="28"/>
        </w:rPr>
        <w:t xml:space="preserve">.11.2010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№</w:t>
      </w:r>
      <w:r>
        <w:rPr>
          <w:rFonts w:ascii="Times New Roman" w:hAnsi="Times New Roman" w:cs="Times New Roman"/>
          <w:sz w:val="28"/>
          <w:szCs w:val="28"/>
        </w:rPr>
        <w:t xml:space="preserve"> 212-п</w:t>
      </w:r>
      <w:r>
        <w:rPr>
          <w:rFonts w:ascii="Times New Roman" w:hAnsi="Times New Roman" w:cs="Times New Roman"/>
          <w:sz w:val="28"/>
          <w:szCs w:val="28"/>
        </w:rPr>
        <w:t xml:space="preserve"> «Об именных премиях Правительства Н</w:t>
      </w:r>
      <w:r>
        <w:rPr>
          <w:rFonts w:ascii="Times New Roman" w:hAnsi="Times New Roman" w:cs="Times New Roman"/>
          <w:sz w:val="28"/>
          <w:szCs w:val="28"/>
        </w:rPr>
        <w:t xml:space="preserve">овосибирской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именных ст</w:t>
      </w:r>
      <w:r>
        <w:rPr>
          <w:rFonts w:ascii="Times New Roman" w:hAnsi="Times New Roman" w:cs="Times New Roman"/>
          <w:sz w:val="28"/>
          <w:szCs w:val="28"/>
        </w:rPr>
        <w:t xml:space="preserve">ипендиях П</w:t>
      </w:r>
      <w:r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овосибирской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грантах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овосибирской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выделения: 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Именная стипендия выделяется соискателю для проведения перспективных научных исследований и разработок по тематике, соответствующей Перечню направлений научных исследований, утвержденному постановлением Правительства Новос</w:t>
      </w:r>
      <w:r>
        <w:rPr>
          <w:rFonts w:ascii="Times New Roman" w:hAnsi="Times New Roman" w:cs="Times New Roman"/>
          <w:sz w:val="28"/>
          <w:szCs w:val="28"/>
        </w:rPr>
        <w:t xml:space="preserve">ибирской области от 15.11.2010 №</w:t>
      </w:r>
      <w:r>
        <w:rPr>
          <w:rFonts w:ascii="Times New Roman" w:hAnsi="Times New Roman" w:cs="Times New Roman"/>
          <w:sz w:val="28"/>
          <w:szCs w:val="28"/>
        </w:rPr>
        <w:t xml:space="preserve"> 212-п, сроком на один календарный год (с 1 января по 31 декабря</w:t>
      </w:r>
      <w:r>
        <w:rPr>
          <w:rFonts w:ascii="Times New Roman" w:hAnsi="Times New Roman" w:cs="Times New Roman"/>
          <w:sz w:val="28"/>
          <w:szCs w:val="28"/>
        </w:rPr>
        <w:t xml:space="preserve">) и выплачивается ежеквартально.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Размер поддержки: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выделяется 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именных стипендий в размере 54 377,5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ежеквартально</w:t>
      </w:r>
      <w:r>
        <w:rPr>
          <w:rFonts w:ascii="Times New Roman" w:hAnsi="Times New Roman" w:cs="Times New Roman"/>
          <w:sz w:val="28"/>
          <w:szCs w:val="28"/>
        </w:rPr>
        <w:t xml:space="preserve"> (с </w:t>
      </w:r>
      <w:r>
        <w:rPr>
          <w:rFonts w:ascii="Times New Roman" w:hAnsi="Times New Roman" w:cs="Times New Roman"/>
          <w:sz w:val="28"/>
          <w:szCs w:val="28"/>
        </w:rPr>
        <w:t xml:space="preserve">учетом районного коэффициента).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Категория соискателей: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Соискателями на получе</w:t>
      </w:r>
      <w:r>
        <w:rPr>
          <w:rFonts w:ascii="Times New Roman" w:hAnsi="Times New Roman" w:cs="Times New Roman"/>
          <w:sz w:val="28"/>
          <w:szCs w:val="28"/>
        </w:rPr>
        <w:t xml:space="preserve">ние именной стипендии являются: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аспиранты очной формы обучения (начиная со 2 года обу</w:t>
      </w:r>
      <w:r>
        <w:rPr>
          <w:rFonts w:ascii="Times New Roman" w:hAnsi="Times New Roman" w:cs="Times New Roman"/>
          <w:sz w:val="28"/>
          <w:szCs w:val="28"/>
        </w:rPr>
        <w:t xml:space="preserve">чения) в возрасте до </w:t>
      </w:r>
      <w:r>
        <w:rPr>
          <w:rFonts w:ascii="Times New Roman" w:hAnsi="Times New Roman" w:cs="Times New Roman"/>
          <w:sz w:val="28"/>
          <w:szCs w:val="28"/>
        </w:rPr>
        <w:t xml:space="preserve">35 лет (включительно) на дату подачи до</w:t>
      </w:r>
      <w:r>
        <w:rPr>
          <w:rFonts w:ascii="Times New Roman" w:hAnsi="Times New Roman" w:cs="Times New Roman"/>
          <w:sz w:val="28"/>
          <w:szCs w:val="28"/>
        </w:rPr>
        <w:t xml:space="preserve">кументов для участия в конкурсе;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аспиранты очной формы 1 года обучения в возрасте до 35 лет (включительно) на дату подачи документов, осущест</w:t>
      </w:r>
      <w:r>
        <w:rPr>
          <w:rFonts w:ascii="Times New Roman" w:hAnsi="Times New Roman" w:cs="Times New Roman"/>
          <w:sz w:val="28"/>
          <w:szCs w:val="28"/>
        </w:rPr>
        <w:t xml:space="preserve">вляющие трудовую деятельность в 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продолжительностью не менее 1 года до даты подачи документов;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докторанты очной формы обучения (начиная с</w:t>
      </w:r>
      <w:r>
        <w:rPr>
          <w:rFonts w:ascii="Times New Roman" w:hAnsi="Times New Roman" w:cs="Times New Roman"/>
          <w:sz w:val="28"/>
          <w:szCs w:val="28"/>
        </w:rPr>
        <w:t xml:space="preserve"> 1 года обучения) в возрасте до </w:t>
      </w:r>
      <w:r>
        <w:rPr>
          <w:rFonts w:ascii="Times New Roman" w:hAnsi="Times New Roman" w:cs="Times New Roman"/>
          <w:sz w:val="28"/>
          <w:szCs w:val="28"/>
        </w:rPr>
        <w:t xml:space="preserve">40 лет (включительно) на дату подачи документов.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и требования к отчетности: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Отчеты не предоставляются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Контактные данные: 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Ямалова Камилла Идрисовна, главный эксперт министерства науки и инновационной политики Новосибирской области, тел.: 228 63 </w:t>
      </w:r>
      <w:r>
        <w:rPr>
          <w:rFonts w:ascii="Times New Roman" w:hAnsi="Times New Roman" w:cs="Times New Roman"/>
          <w:sz w:val="28"/>
          <w:szCs w:val="28"/>
        </w:rPr>
        <w:t xml:space="preserve">40,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yaki</w:t>
      </w:r>
      <w:r>
        <w:rPr>
          <w:rFonts w:ascii="Times New Roman" w:hAnsi="Times New Roman" w:cs="Times New Roman"/>
          <w:sz w:val="28"/>
          <w:szCs w:val="28"/>
        </w:rPr>
        <w:t xml:space="preserve">@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nso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ru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Подробная информация размещена по адресу: 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http://nauka.nso.ru/page/233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 w:clear="all"/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Гранты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Правительства Новосибирской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молодым ученым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Нормативный документ: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Новосибирской области от </w:t>
      </w:r>
      <w:r>
        <w:rPr>
          <w:rFonts w:ascii="Times New Roman" w:hAnsi="Times New Roman" w:cs="Times New Roman"/>
          <w:sz w:val="28"/>
          <w:szCs w:val="28"/>
        </w:rPr>
        <w:t xml:space="preserve">15</w:t>
      </w:r>
      <w:r>
        <w:rPr>
          <w:rFonts w:ascii="Times New Roman" w:hAnsi="Times New Roman" w:cs="Times New Roman"/>
          <w:sz w:val="28"/>
          <w:szCs w:val="28"/>
        </w:rPr>
        <w:t xml:space="preserve">.11.2010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№</w:t>
      </w:r>
      <w:r>
        <w:rPr>
          <w:rFonts w:ascii="Times New Roman" w:hAnsi="Times New Roman" w:cs="Times New Roman"/>
          <w:sz w:val="28"/>
          <w:szCs w:val="28"/>
        </w:rPr>
        <w:t xml:space="preserve"> 212-п</w:t>
      </w:r>
      <w:r>
        <w:rPr>
          <w:rFonts w:ascii="Times New Roman" w:hAnsi="Times New Roman" w:cs="Times New Roman"/>
          <w:sz w:val="28"/>
          <w:szCs w:val="28"/>
        </w:rPr>
        <w:t xml:space="preserve"> «Об именных премиях Правительства Н</w:t>
      </w:r>
      <w:r>
        <w:rPr>
          <w:rFonts w:ascii="Times New Roman" w:hAnsi="Times New Roman" w:cs="Times New Roman"/>
          <w:sz w:val="28"/>
          <w:szCs w:val="28"/>
        </w:rPr>
        <w:t xml:space="preserve">овосибирской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именных ст</w:t>
      </w:r>
      <w:r>
        <w:rPr>
          <w:rFonts w:ascii="Times New Roman" w:hAnsi="Times New Roman" w:cs="Times New Roman"/>
          <w:sz w:val="28"/>
          <w:szCs w:val="28"/>
        </w:rPr>
        <w:t xml:space="preserve">ипендиях П</w:t>
      </w:r>
      <w:r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овосибирской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грантах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овосибирской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предоставления: 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623"/>
        <w:contextualSpacing/>
        <w:ind w:firstLine="709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Гранты предоставляются по результатам конкурсного отбора научных проектов для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грантов (далее –</w:t>
      </w:r>
      <w:r>
        <w:rPr>
          <w:rFonts w:ascii="Times New Roman" w:hAnsi="Times New Roman" w:cs="Times New Roman"/>
          <w:sz w:val="28"/>
          <w:szCs w:val="28"/>
        </w:rPr>
        <w:t xml:space="preserve"> отбор) в целях финансового обеспечения затрат, связанных с выполнением научных (научно-исследовательских) и (или) научно-технических работ, направленных на создание, и</w:t>
      </w:r>
      <w:r>
        <w:rPr>
          <w:rFonts w:ascii="Times New Roman" w:hAnsi="Times New Roman" w:cs="Times New Roman"/>
          <w:sz w:val="28"/>
          <w:szCs w:val="28"/>
        </w:rPr>
        <w:t xml:space="preserve"> (или) разработку, и (или) внедрение инновационных продуктов, технологий в городское хозяйство муниципальных образований Новосибирской области и (или) социальную сферу Новосибирской области (далее - проект), по одному из следующих приоритетных направлений: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3"/>
        <w:contextualSpacing/>
        <w:ind w:firstLine="709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высокотехнологичная медицина, здравоохранение, технологии здоровьесбережения;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3"/>
        <w:contextualSpacing/>
        <w:ind w:firstLine="709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информационно-телекоммуникационные технологии в управлении инфраструктурой городского хозяйства;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3"/>
        <w:contextualSpacing/>
        <w:ind w:firstLine="709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бесперебойной работы систем водоснабжения, водоотведения и теплоснабжения;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3"/>
        <w:contextualSpacing/>
        <w:ind w:firstLine="709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охрана окружающей среды и природных ресурсов;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3"/>
        <w:contextualSpacing/>
        <w:ind w:firstLine="709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предупреждение и ликвидация чрезвычайных ситуаций природного и техногенного характера, обеспечение пожарной безопасности;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3"/>
        <w:contextualSpacing/>
        <w:ind w:firstLine="709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агропромышленного комплекса Новосибирской области;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3"/>
        <w:contextualSpacing/>
        <w:ind w:firstLine="709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дорожной деятельности и общественного транспорта;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3"/>
        <w:contextualSpacing/>
        <w:ind w:firstLine="709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зеленых и парковых зон;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3"/>
        <w:contextualSpacing/>
        <w:ind w:firstLine="709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деятельности образовательных организаций дошкольного, общего и дополнительного образования детей;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3"/>
        <w:contextualSpacing/>
        <w:ind w:firstLine="709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мер социального обслуживания, социальной поддержки и защиты населения;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3"/>
        <w:contextualSpacing/>
        <w:ind w:firstLine="709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новых материалов и технологий для строительства и реконструкции объектов жилищно-коммунального хозяйства;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3"/>
        <w:contextualSpacing/>
        <w:ind w:firstLine="709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энергоэффективность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и энергосбережение в энергетических системах ж</w:t>
      </w:r>
      <w:r>
        <w:rPr>
          <w:rFonts w:ascii="Times New Roman" w:hAnsi="Times New Roman" w:cs="Times New Roman"/>
          <w:sz w:val="28"/>
          <w:szCs w:val="28"/>
        </w:rPr>
        <w:t xml:space="preserve">илищно-коммунального хозяйства.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Размер поддержки: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гранта определяется запрашиваемым объемом финансирования, но не может превышать 500000 рублей (включая сумму налога на доходы физических лиц).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Ежегодно предоставляется 12 грантов.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Категория соискателей: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проведении отбора участвуют научн</w:t>
      </w:r>
      <w:r>
        <w:rPr>
          <w:rFonts w:ascii="Times New Roman" w:hAnsi="Times New Roman" w:cs="Times New Roman"/>
          <w:sz w:val="28"/>
          <w:szCs w:val="28"/>
        </w:rPr>
        <w:t xml:space="preserve">ые коллективы численностью до 4 </w:t>
      </w:r>
      <w:r>
        <w:rPr>
          <w:rFonts w:ascii="Times New Roman" w:hAnsi="Times New Roman" w:cs="Times New Roman"/>
          <w:sz w:val="28"/>
          <w:szCs w:val="28"/>
        </w:rPr>
        <w:t xml:space="preserve">человек (включая руководителя проекта), занимающиеся научной (научно-исследовательской), научно-технической,</w:t>
      </w:r>
      <w:r>
        <w:rPr>
          <w:rFonts w:ascii="Times New Roman" w:hAnsi="Times New Roman" w:cs="Times New Roman"/>
          <w:sz w:val="28"/>
          <w:szCs w:val="28"/>
        </w:rPr>
        <w:t xml:space="preserve"> инновационной деятельностью </w:t>
      </w:r>
      <w:r>
        <w:rPr>
          <w:rFonts w:ascii="Times New Roman" w:hAnsi="Times New Roman" w:cs="Times New Roman"/>
          <w:sz w:val="28"/>
          <w:szCs w:val="28"/>
        </w:rPr>
        <w:t xml:space="preserve">в </w:t>
      </w:r>
      <w:r>
        <w:rPr>
          <w:rFonts w:ascii="Times New Roman" w:hAnsi="Times New Roman" w:cs="Times New Roman"/>
          <w:sz w:val="28"/>
          <w:szCs w:val="28"/>
        </w:rPr>
        <w:t xml:space="preserve">научных организациях или образовательных организациях высшего образования, расположенных на территории Новосибирской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Руководителем проекта является научный работник, научно-педагогический работник, имеющий ученую степень кандидата либ</w:t>
      </w:r>
      <w:r>
        <w:rPr>
          <w:rFonts w:ascii="Times New Roman" w:hAnsi="Times New Roman" w:cs="Times New Roman"/>
          <w:sz w:val="28"/>
          <w:szCs w:val="28"/>
        </w:rPr>
        <w:t xml:space="preserve">о доктора наук в возрасте до 40 </w:t>
      </w:r>
      <w:r>
        <w:rPr>
          <w:rFonts w:ascii="Times New Roman" w:hAnsi="Times New Roman" w:cs="Times New Roman"/>
          <w:sz w:val="28"/>
          <w:szCs w:val="28"/>
        </w:rPr>
        <w:t xml:space="preserve">лет (включительно) на дату подачи документов для участия в отборе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Членами научного коллектива являются: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студенты, магистранты, аспиранты в возра</w:t>
      </w:r>
      <w:r>
        <w:rPr>
          <w:rFonts w:ascii="Times New Roman" w:hAnsi="Times New Roman" w:cs="Times New Roman"/>
          <w:sz w:val="28"/>
          <w:szCs w:val="28"/>
        </w:rPr>
        <w:t xml:space="preserve">сте до 35 лет (включительно) на </w:t>
      </w:r>
      <w:r>
        <w:rPr>
          <w:rFonts w:ascii="Times New Roman" w:hAnsi="Times New Roman" w:cs="Times New Roman"/>
          <w:sz w:val="28"/>
          <w:szCs w:val="28"/>
        </w:rPr>
        <w:t xml:space="preserve">дату подачи документов;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докторанты, научные работники, на</w:t>
      </w:r>
      <w:r>
        <w:rPr>
          <w:rFonts w:ascii="Times New Roman" w:hAnsi="Times New Roman" w:cs="Times New Roman"/>
          <w:sz w:val="28"/>
          <w:szCs w:val="28"/>
        </w:rPr>
        <w:t xml:space="preserve">учно-педагогические работники в </w:t>
      </w:r>
      <w:r>
        <w:rPr>
          <w:rFonts w:ascii="Times New Roman" w:hAnsi="Times New Roman" w:cs="Times New Roman"/>
          <w:sz w:val="28"/>
          <w:szCs w:val="28"/>
        </w:rPr>
        <w:t xml:space="preserve">возрасте до 40 лет (включительно) на дату подачи документов.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Одно из обязательных требований: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у заявит</w:t>
      </w:r>
      <w:r>
        <w:rPr>
          <w:rFonts w:ascii="Times New Roman" w:hAnsi="Times New Roman" w:cs="Times New Roman"/>
          <w:sz w:val="28"/>
          <w:szCs w:val="28"/>
        </w:rPr>
        <w:t xml:space="preserve">еля на дату подачи заявки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соответствии с подпунктом 10 пункта</w:t>
      </w:r>
      <w:r>
        <w:rPr>
          <w:rFonts w:ascii="Times New Roman" w:hAnsi="Times New Roman" w:cs="Times New Roman"/>
          <w:sz w:val="28"/>
          <w:szCs w:val="28"/>
        </w:rPr>
        <w:t xml:space="preserve"> 1 статьи 32 Налогового кодекса Российской Федерации (с учетом изменений, внесенных Федеральным законом от14.07.2022 № 263-ФЗ «О внесении изменений в части первую и вторую Налогового кодекса Российской Федерации») справка об исполнении обязанности по уплат</w:t>
      </w:r>
      <w:r>
        <w:rPr>
          <w:rFonts w:ascii="Times New Roman" w:hAnsi="Times New Roman" w:cs="Times New Roman"/>
          <w:sz w:val="28"/>
          <w:szCs w:val="28"/>
        </w:rPr>
        <w:t xml:space="preserve">е налогов, сборов, пеней, штрафов, процентов предоставляется по состоянию на дату формирования справки. При этом дата формирования справки должна быть не ранее даты начала подачи заявок на участие в конкурсе, указанной в объявлении о проведении конкурса.).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предоставления гранта является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ыполнение работ по проекту в соответствии с планом работ по выполнению проекта, приведенным в заявке</w:t>
      </w:r>
      <w:r>
        <w:rPr>
          <w:rFonts w:ascii="Times New Roman" w:hAnsi="Times New Roman" w:cs="Times New Roman"/>
          <w:sz w:val="28"/>
          <w:szCs w:val="28"/>
        </w:rPr>
        <w:t xml:space="preserve">. Результат предоставления гранта измеряется в процентах на основании представленной информации в отчетах, указанных в пункте 37 Порядка, при этом работы по проекту должны быть выполнены не менее чем на 80% от указанных в плане работ по выполнению проекта.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и требования к отчетности: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проекта (получатель гранта) представляет на бумажном носителе в министерство: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 истечении срока выполнения проекта, но не позднее 20 января года, следующего за годом предоставления гранта: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годовой финансовый отчет, содержащий: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платежных документов, подтверждающих осуществление затрат, сгруппированных по видам произведенных расходов;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заключенных договоров с приложением технических заданий проведения работ и актов приема-передачи выполненных работ (оказанных услуг);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иных документов, подтверждающих произведенные расходы;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 перераспределения расходов между статьями расходов, которые были указаны в заявке (планируемые расходы), и фактически понесенными расходами в процессе выполнения проекта (при наличии указанного перераспределения);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годовой отчет о проведенной работе по гранту, оформленный в соответствии с ГОСТ 7.32-2017 и содержащий: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разработки и (или) проведения научных работ, исследований в соответствии с заявкой, а также с учетом произведенных затрат, представленных в финансовом отчете;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</w:t>
      </w:r>
      <w:r>
        <w:rPr>
          <w:rFonts w:ascii="Times New Roman" w:hAnsi="Times New Roman" w:cs="Times New Roman"/>
          <w:sz w:val="28"/>
          <w:szCs w:val="28"/>
        </w:rPr>
        <w:t xml:space="preserve"> о достижении результатов предоставления гранта (достигнутые значения результатов предоставления гранта, определенных договором, и событий, отражающих факт завершения соответствующего этапа реализации проекта по получению результата предоставления гранта);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заключение, содержащее основные результаты проведенного научного исследования, а также рекомендации по дальнейшему использованию результатов научной работы;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документы, подтверждающие выполнение проекта;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ежеквартально, не поздн</w:t>
      </w:r>
      <w:r>
        <w:rPr>
          <w:rFonts w:ascii="Times New Roman" w:hAnsi="Times New Roman" w:cs="Times New Roman"/>
          <w:sz w:val="28"/>
          <w:szCs w:val="28"/>
        </w:rPr>
        <w:t xml:space="preserve">ее 15 рабочего дня месяца, следующего за отчетным кварталом, начиная с квартала, в котором предоставлен грант, квартальный отчет об осуществлении расходов и достижении результатов проекта (за исключением отчета за 4 квартал, вместо которого представляются </w:t>
      </w:r>
      <w:r>
        <w:rPr>
          <w:rFonts w:ascii="Times New Roman" w:hAnsi="Times New Roman" w:cs="Times New Roman"/>
          <w:sz w:val="28"/>
          <w:szCs w:val="28"/>
        </w:rPr>
        <w:t xml:space="preserve">отчеты, указанные в подпунктах «а», «б» подпункта 1 настоящего пункта</w:t>
      </w:r>
      <w:r>
        <w:rPr>
          <w:rFonts w:ascii="Times New Roman" w:hAnsi="Times New Roman" w:cs="Times New Roman"/>
          <w:sz w:val="28"/>
          <w:szCs w:val="28"/>
        </w:rPr>
        <w:t xml:space="preserve">).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Контактные данные: 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Ямалова Камилла Идрисовна, главный эксперт министерства науки и инновационной </w:t>
      </w:r>
      <w:r>
        <w:rPr>
          <w:rFonts w:ascii="Times New Roman" w:hAnsi="Times New Roman" w:cs="Times New Roman"/>
          <w:sz w:val="28"/>
          <w:szCs w:val="28"/>
        </w:rPr>
        <w:t xml:space="preserve">политики Новосибирской области, тел.: </w:t>
      </w:r>
      <w:r>
        <w:rPr>
          <w:rFonts w:ascii="Times New Roman" w:hAnsi="Times New Roman" w:cs="Times New Roman"/>
          <w:sz w:val="28"/>
          <w:szCs w:val="28"/>
        </w:rPr>
        <w:t xml:space="preserve">228 63 </w:t>
      </w:r>
      <w:r>
        <w:rPr>
          <w:rFonts w:ascii="Times New Roman" w:hAnsi="Times New Roman" w:cs="Times New Roman"/>
          <w:sz w:val="28"/>
          <w:szCs w:val="28"/>
        </w:rPr>
        <w:t xml:space="preserve">40,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yaki</w:t>
      </w:r>
      <w:r>
        <w:rPr>
          <w:rFonts w:ascii="Times New Roman" w:hAnsi="Times New Roman" w:cs="Times New Roman"/>
          <w:sz w:val="28"/>
          <w:szCs w:val="28"/>
        </w:rPr>
        <w:t xml:space="preserve">@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nso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ru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Подробная информация размещена по адресу: 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http://nauka.nso.ru/page/235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</w:t>
      </w:r>
      <w:r>
        <w:rPr>
          <w:rFonts w:ascii="Times New Roman" w:hAnsi="Times New Roman" w:cs="Times New Roman"/>
          <w:b/>
          <w:sz w:val="28"/>
          <w:szCs w:val="28"/>
        </w:rPr>
        <w:t xml:space="preserve">редоставление субсидий субъекта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м инновационной деятельности на 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подготовку, осуществление трансфера и коммерциализацию технологий, включая выпуск опытной партии продукции, ее сертификацию, модернизацию производства и прочие мероприятия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Нормативный документ: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3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Н</w:t>
      </w:r>
      <w:r>
        <w:rPr>
          <w:rFonts w:ascii="Times New Roman" w:hAnsi="Times New Roman" w:cs="Times New Roman"/>
          <w:sz w:val="28"/>
          <w:szCs w:val="28"/>
        </w:rPr>
        <w:t xml:space="preserve">овосибирской области о</w:t>
      </w: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 31.12.2019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528-п </w:t>
      </w:r>
      <w:r>
        <w:rPr>
          <w:rFonts w:ascii="Times New Roman" w:hAnsi="Times New Roman" w:cs="Times New Roman"/>
          <w:sz w:val="28"/>
          <w:szCs w:val="28"/>
        </w:rPr>
        <w:t xml:space="preserve">«О</w:t>
      </w:r>
      <w:r>
        <w:rPr>
          <w:rFonts w:ascii="Times New Roman" w:hAnsi="Times New Roman" w:cs="Times New Roman"/>
          <w:sz w:val="28"/>
          <w:szCs w:val="28"/>
        </w:rPr>
        <w:t xml:space="preserve">б утвержд</w:t>
      </w:r>
      <w:r>
        <w:rPr>
          <w:rFonts w:ascii="Times New Roman" w:hAnsi="Times New Roman" w:cs="Times New Roman"/>
          <w:sz w:val="28"/>
          <w:szCs w:val="28"/>
        </w:rPr>
        <w:t xml:space="preserve">ении государственной программы Н</w:t>
      </w:r>
      <w:r>
        <w:rPr>
          <w:rFonts w:ascii="Times New Roman" w:hAnsi="Times New Roman" w:cs="Times New Roman"/>
          <w:sz w:val="28"/>
          <w:szCs w:val="28"/>
        </w:rPr>
        <w:t xml:space="preserve">овосибирской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«С</w:t>
      </w:r>
      <w:r>
        <w:rPr>
          <w:rFonts w:ascii="Times New Roman" w:hAnsi="Times New Roman" w:cs="Times New Roman"/>
          <w:sz w:val="28"/>
          <w:szCs w:val="28"/>
        </w:rPr>
        <w:t xml:space="preserve">тимулирование научной, научно-технической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 </w:t>
      </w:r>
      <w:r>
        <w:rPr>
          <w:rFonts w:ascii="Times New Roman" w:hAnsi="Times New Roman" w:cs="Times New Roman"/>
          <w:sz w:val="28"/>
          <w:szCs w:val="28"/>
        </w:rPr>
        <w:t xml:space="preserve">инновационной деяте</w:t>
      </w:r>
      <w:r>
        <w:rPr>
          <w:rFonts w:ascii="Times New Roman" w:hAnsi="Times New Roman" w:cs="Times New Roman"/>
          <w:sz w:val="28"/>
          <w:szCs w:val="28"/>
        </w:rPr>
        <w:t xml:space="preserve">льности в Н</w:t>
      </w:r>
      <w:r>
        <w:rPr>
          <w:rFonts w:ascii="Times New Roman" w:hAnsi="Times New Roman" w:cs="Times New Roman"/>
          <w:sz w:val="28"/>
          <w:szCs w:val="28"/>
        </w:rPr>
        <w:t xml:space="preserve">овосибирской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предоставления: 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стимулирования процессов вовлечения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в гражданский оборот конкурентоспособной инновационной продукции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результатов интеллектуальной деятельности на финансовое обеспечение затрат, связанных с: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подготовкой, осуществлением трансфера технологий, а именно осущест</w:t>
      </w:r>
      <w:r>
        <w:rPr>
          <w:rFonts w:ascii="Times New Roman" w:hAnsi="Times New Roman" w:cs="Times New Roman"/>
          <w:sz w:val="28"/>
          <w:szCs w:val="28"/>
        </w:rPr>
        <w:t xml:space="preserve">влением следующих мероприятий: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оценкой затрат, связа</w:t>
      </w:r>
      <w:r>
        <w:rPr>
          <w:rFonts w:ascii="Times New Roman" w:hAnsi="Times New Roman" w:cs="Times New Roman"/>
          <w:sz w:val="28"/>
          <w:szCs w:val="28"/>
        </w:rPr>
        <w:t xml:space="preserve">нных с приобретением технологий;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приобретением новых технологий, в том числе приобретением прав на патенты и лицензий на использование изобретений, полезных моделей, промышленных образцов, специализиров</w:t>
      </w:r>
      <w:r>
        <w:rPr>
          <w:rFonts w:ascii="Times New Roman" w:hAnsi="Times New Roman" w:cs="Times New Roman"/>
          <w:sz w:val="28"/>
          <w:szCs w:val="28"/>
        </w:rPr>
        <w:t xml:space="preserve">анного программного обеспечения;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коммерциализацией технологий, в том числе приобретенных у научных учреждений и (или) вузов, включая работы по проведению прикладных научных исследований и (или) </w:t>
      </w:r>
      <w:r>
        <w:rPr>
          <w:rFonts w:ascii="Times New Roman" w:hAnsi="Times New Roman" w:cs="Times New Roman"/>
          <w:sz w:val="28"/>
          <w:szCs w:val="28"/>
        </w:rPr>
        <w:t xml:space="preserve">экспериментальных разработок, в том числе оплату НИР и(или) ОКР, проводимых научными учреждениями и (или) вузами, выпуск опытной партии продукции, ее сертификацию, модернизацию существующих способов (технологий) производства и прочих мероприятий, при осуще</w:t>
      </w:r>
      <w:r>
        <w:rPr>
          <w:rFonts w:ascii="Times New Roman" w:hAnsi="Times New Roman" w:cs="Times New Roman"/>
          <w:sz w:val="28"/>
          <w:szCs w:val="28"/>
        </w:rPr>
        <w:t xml:space="preserve">ствлении следующих мероприятий: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</w:t>
      </w:r>
      <w:r>
        <w:rPr>
          <w:rFonts w:ascii="Times New Roman" w:hAnsi="Times New Roman" w:cs="Times New Roman"/>
          <w:sz w:val="28"/>
          <w:szCs w:val="28"/>
        </w:rPr>
        <w:t xml:space="preserve">ие работ по патентной аналитике;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завершение НИР и (ил</w:t>
      </w:r>
      <w:r>
        <w:rPr>
          <w:rFonts w:ascii="Times New Roman" w:hAnsi="Times New Roman" w:cs="Times New Roman"/>
          <w:sz w:val="28"/>
          <w:szCs w:val="28"/>
        </w:rPr>
        <w:t xml:space="preserve">и) ОКР;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опытного образца;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испытаний опытных образцов, в том числе проведение экспериментов и прикладных работ по совершенствованию потребительских свойств, те</w:t>
      </w:r>
      <w:r>
        <w:rPr>
          <w:rFonts w:ascii="Times New Roman" w:hAnsi="Times New Roman" w:cs="Times New Roman"/>
          <w:sz w:val="28"/>
          <w:szCs w:val="28"/>
        </w:rPr>
        <w:t xml:space="preserve">хнологических, экономических, эргономических характеристик инновационного продукта, в соответствии с требованиями конкретного потребителя, проведение клинических испытаний создаваемого медицинского оборудования и фармацевтических препаратов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требованиями законодательства;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в производство принципиально новой или с новыми потребительскими свойствами пр</w:t>
      </w:r>
      <w:r>
        <w:rPr>
          <w:rFonts w:ascii="Times New Roman" w:hAnsi="Times New Roman" w:cs="Times New Roman"/>
          <w:sz w:val="28"/>
          <w:szCs w:val="28"/>
        </w:rPr>
        <w:t xml:space="preserve">одукции (товаров, работ, услуг);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инновационных технологий для произ</w:t>
      </w:r>
      <w:r>
        <w:rPr>
          <w:rFonts w:ascii="Times New Roman" w:hAnsi="Times New Roman" w:cs="Times New Roman"/>
          <w:sz w:val="28"/>
          <w:szCs w:val="28"/>
        </w:rPr>
        <w:t xml:space="preserve">водства инновационной продукции;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проектов модернизации действующих технологических установок, обеспечивающих внедрение ин</w:t>
      </w:r>
      <w:r>
        <w:rPr>
          <w:rFonts w:ascii="Times New Roman" w:hAnsi="Times New Roman" w:cs="Times New Roman"/>
          <w:sz w:val="28"/>
          <w:szCs w:val="28"/>
        </w:rPr>
        <w:t xml:space="preserve">новационных технологий;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сертификации и стандартизации инновационных продукции и технологий, оформление регистрационных удостоверений и иных разрешительных документов, связанных с выводом инновационной продукции и технологий в </w:t>
      </w:r>
      <w:r>
        <w:rPr>
          <w:rFonts w:ascii="Times New Roman" w:hAnsi="Times New Roman" w:cs="Times New Roman"/>
          <w:sz w:val="28"/>
          <w:szCs w:val="28"/>
        </w:rPr>
        <w:t xml:space="preserve">свободное обращение, обеспечение правовой охраны результато</w:t>
      </w:r>
      <w:r>
        <w:rPr>
          <w:rFonts w:ascii="Times New Roman" w:hAnsi="Times New Roman" w:cs="Times New Roman"/>
          <w:sz w:val="28"/>
          <w:szCs w:val="28"/>
        </w:rPr>
        <w:t xml:space="preserve">в интеллектуальной деятельности;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и применение новых способов (технологий) производства, распространения и использования продукции (товаров, работ, услуг)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Категория соискателей: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субъекты инновационной деятельности – организации, осуществляющие трансфер и коммерциализацию технологий посредством реализации научно-прикладных и инновационных проектов в Новосибирской области, с участием научных учреждений и (или) вузов в проведении НИР</w:t>
      </w:r>
      <w:r>
        <w:rPr>
          <w:rFonts w:ascii="Times New Roman" w:hAnsi="Times New Roman" w:cs="Times New Roman"/>
          <w:sz w:val="28"/>
          <w:szCs w:val="28"/>
        </w:rPr>
        <w:t xml:space="preserve"> и (или) ОКР в рамках проектов;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субъекты инновационной деятельности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организации, осуществляющие трансфер и коммерциализацию технологий посредством реализации проектов, предусматривающих проведение научных исследований и разработок в области естественных и технических наук в соответствии с кодом 72.1 </w:t>
      </w:r>
      <w:r>
        <w:rPr>
          <w:rFonts w:ascii="Times New Roman" w:hAnsi="Times New Roman" w:cs="Times New Roman"/>
          <w:sz w:val="28"/>
          <w:szCs w:val="28"/>
        </w:rPr>
        <w:t xml:space="preserve">ОКВЭД</w:t>
      </w:r>
      <w:r>
        <w:rPr>
          <w:rFonts w:ascii="Times New Roman" w:hAnsi="Times New Roman" w:cs="Times New Roman"/>
          <w:sz w:val="28"/>
          <w:szCs w:val="28"/>
        </w:rPr>
        <w:t xml:space="preserve">, в рамках своего участия в программе деятельности научно-образовательного центра мирового уровня «Сибирский биотехнологический научно-образовательный центр», утвержденной Губернатором Новосибирской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15.11.2023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организации – субъекты деятельности в сфере промышленности или сельскохозяйственные товаропроизводители, осуществляющие свою деятельность более чем один календарный год до даты подачи заявки, осуществляющие трансф</w:t>
      </w:r>
      <w:r>
        <w:rPr>
          <w:rFonts w:ascii="Times New Roman" w:hAnsi="Times New Roman" w:cs="Times New Roman"/>
          <w:sz w:val="28"/>
          <w:szCs w:val="28"/>
        </w:rPr>
        <w:t xml:space="preserve">ер и коммерциализацию технологий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средством реализации проектов в </w:t>
      </w:r>
      <w:r>
        <w:rPr>
          <w:rFonts w:ascii="Times New Roman" w:hAnsi="Times New Roman" w:cs="Times New Roman"/>
          <w:sz w:val="28"/>
          <w:szCs w:val="28"/>
        </w:rPr>
        <w:t xml:space="preserve">рамках своего участия совместно с научным</w:t>
      </w:r>
      <w:r>
        <w:rPr>
          <w:rFonts w:ascii="Times New Roman" w:hAnsi="Times New Roman" w:cs="Times New Roman"/>
          <w:sz w:val="28"/>
          <w:szCs w:val="28"/>
        </w:rPr>
        <w:t xml:space="preserve">и учреждениями и (или) вузами в </w:t>
      </w:r>
      <w:r>
        <w:rPr>
          <w:rFonts w:ascii="Times New Roman" w:hAnsi="Times New Roman" w:cs="Times New Roman"/>
          <w:sz w:val="28"/>
          <w:szCs w:val="28"/>
        </w:rPr>
        <w:t xml:space="preserve">программе деятельности НОЦ, при этом реализацией проектов предусмотрено проведение указанными научными учреждениями и (или) вузами НИР и (или) ОКР.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Размер поддержки: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субсидии определяется запрашиваемым объемом финансирования проекта в соответствии с заявкой, но не может превышать: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для проектов, указанных в подпункте 1 пункта 5 Порядка: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3 млн рублей – для проектов со сроком реализации в пределах одного финансового года;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6 млн рублей – для проектов со сроком реализации в пределах двух финансовых лет, при этом в пределах одного финансового года предоставляется не более 3 млн рублей;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для проектов, указанных в подпункте 2 пункта 5 Порядка: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5 млн рублей – для проектов со сроком реализации в пределах одного финансового года;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10 млн рублей – для проектов со сроком реализации в пределах двух финансовых лет, при этом в пределах одного финансового года предоставляется не более 5 млн рублей;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для проектов, указанных в подпункте 3 пункта 5 Порядка: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10 млн рублей – для проектов со сроком реализации в пределах одного финансового года;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20 млн рублей – для проектов со сроком реализации в пределах двух финансовых лет, при этом в пределах одного финансового года предоставляется не более 10 млн рублей.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Одно из обязательных требований: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623"/>
        <w:ind w:firstLine="709"/>
        <w:jc w:val="both"/>
        <w:spacing w:line="245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у заявителя </w:t>
      </w:r>
      <w:r>
        <w:rPr>
          <w:rFonts w:ascii="Times New Roman" w:hAnsi="Times New Roman"/>
          <w:sz w:val="28"/>
          <w:szCs w:val="28"/>
        </w:rPr>
        <w:t xml:space="preserve">не ранее чем на первое число месяца</w:t>
      </w:r>
      <w:r>
        <w:rPr>
          <w:rFonts w:ascii="Times New Roman" w:hAnsi="Times New Roman"/>
          <w:sz w:val="28"/>
          <w:szCs w:val="28"/>
        </w:rPr>
        <w:t xml:space="preserve"> подачи заявки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соответствии с подпунктом 10 пункта</w:t>
      </w:r>
      <w:r>
        <w:rPr>
          <w:rFonts w:ascii="Times New Roman" w:hAnsi="Times New Roman"/>
          <w:sz w:val="28"/>
          <w:szCs w:val="28"/>
        </w:rPr>
        <w:t xml:space="preserve"> 1 статьи 32 Налогового кодекса Российской Федерации (с учетом изменений, внесенных Федеральным законом от14.07.2022 № 263-ФЗ «О внесении изменений в части первую и вторую Налогового кодекса Российской Федерации») справка об исполнении обязанности по уплат</w:t>
      </w:r>
      <w:r>
        <w:rPr>
          <w:rFonts w:ascii="Times New Roman" w:hAnsi="Times New Roman"/>
          <w:sz w:val="28"/>
          <w:szCs w:val="28"/>
        </w:rPr>
        <w:t xml:space="preserve">е налогов, сборов, пеней, штрафов, процентов предоставляется по состоянию на дату формирования справки. При этом дата формирования справки должна быть не ранее даты начала подачи заявок на участие в конкурсе, указанной в объявлении о проведении конкурса.).</w:t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и требования к отчетности: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623"/>
        <w:ind w:firstLine="709"/>
        <w:jc w:val="both"/>
        <w:spacing w:line="245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Получатель субсидии представляет в </w:t>
      </w:r>
      <w:r>
        <w:rPr>
          <w:rFonts w:ascii="Times New Roman" w:hAnsi="Times New Roman"/>
          <w:sz w:val="28"/>
          <w:szCs w:val="28"/>
        </w:rPr>
        <w:t xml:space="preserve">министерство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rFonts w:ascii="Times New Roman" w:hAnsi="Times New Roman"/>
          <w:sz w:val="28"/>
          <w:szCs w:val="28"/>
        </w:rPr>
      </w:r>
    </w:p>
    <w:p>
      <w:pPr>
        <w:pStyle w:val="623"/>
        <w:ind w:firstLine="709"/>
        <w:jc w:val="both"/>
        <w:spacing w:line="245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ежегодно не позднее пятнадцатого рабочего дн</w:t>
      </w:r>
      <w:r>
        <w:rPr>
          <w:rFonts w:ascii="Times New Roman" w:hAnsi="Times New Roman"/>
          <w:sz w:val="28"/>
          <w:szCs w:val="28"/>
        </w:rPr>
        <w:t xml:space="preserve">я, следующего за отчетным годом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rFonts w:ascii="Times New Roman" w:hAnsi="Times New Roman"/>
          <w:sz w:val="28"/>
          <w:szCs w:val="28"/>
        </w:rPr>
      </w:r>
    </w:p>
    <w:p>
      <w:pPr>
        <w:pStyle w:val="623"/>
        <w:ind w:firstLine="709"/>
        <w:jc w:val="both"/>
        <w:spacing w:line="245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 </w:t>
      </w:r>
      <w:r>
        <w:rPr>
          <w:rFonts w:ascii="Times New Roman" w:hAnsi="Times New Roman"/>
          <w:sz w:val="28"/>
          <w:szCs w:val="28"/>
        </w:rPr>
        <w:t xml:space="preserve">годовой отчет об осуществлении расходов, источником которых является субсидия и собственные и (или) привлеченные средства получателя субсидии;</w:t>
      </w:r>
      <w:r>
        <w:rPr>
          <w:rFonts w:ascii="Times New Roman" w:hAnsi="Times New Roman"/>
          <w:sz w:val="28"/>
          <w:szCs w:val="28"/>
        </w:rPr>
      </w:r>
    </w:p>
    <w:p>
      <w:pPr>
        <w:pStyle w:val="623"/>
        <w:ind w:firstLine="709"/>
        <w:jc w:val="both"/>
        <w:spacing w:line="245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 </w:t>
      </w:r>
      <w:r>
        <w:rPr>
          <w:rFonts w:ascii="Times New Roman" w:hAnsi="Times New Roman"/>
          <w:sz w:val="28"/>
          <w:szCs w:val="28"/>
        </w:rPr>
        <w:t xml:space="preserve">годовой отчет о достижении значений результатов предоставления субсидии;</w:t>
      </w:r>
      <w:r>
        <w:rPr>
          <w:rFonts w:ascii="Times New Roman" w:hAnsi="Times New Roman"/>
          <w:sz w:val="28"/>
          <w:szCs w:val="28"/>
        </w:rPr>
      </w:r>
    </w:p>
    <w:p>
      <w:pPr>
        <w:pStyle w:val="623"/>
        <w:ind w:firstLine="709"/>
        <w:jc w:val="both"/>
        <w:spacing w:line="245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ежеквартально не позднее пятнадцатого рабочего дня месяца, следующего за отчетным кварталом, начиная с квартала, в котором предоставлена субсидия, нарастающим итогом:</w:t>
      </w:r>
      <w:r>
        <w:rPr>
          <w:rFonts w:ascii="Times New Roman" w:hAnsi="Times New Roman"/>
          <w:sz w:val="28"/>
          <w:szCs w:val="28"/>
        </w:rPr>
      </w:r>
    </w:p>
    <w:p>
      <w:pPr>
        <w:pStyle w:val="623"/>
        <w:ind w:firstLine="709"/>
        <w:jc w:val="both"/>
        <w:spacing w:line="245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отчет об осуществлении расходов, источником финансового обеспечения которых является субсидия (за исключением отчета за четвертый квартал, вместо которого предоставляется отчет, указанный в абзаце «а» подпункта 1 настоящего пункта);</w:t>
      </w:r>
      <w:r>
        <w:rPr>
          <w:rFonts w:ascii="Times New Roman" w:hAnsi="Times New Roman"/>
          <w:sz w:val="28"/>
          <w:szCs w:val="28"/>
        </w:rPr>
      </w:r>
    </w:p>
    <w:p>
      <w:pPr>
        <w:pStyle w:val="623"/>
        <w:ind w:firstLine="709"/>
        <w:jc w:val="both"/>
        <w:spacing w:line="245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отчет о достижении значений результатов предоставления субсидии (за исключением отчета за четвертый квартал, вместо которого предоставляется отчет, указанный в абзаце «б» подпункта 1 настоящего пункта).</w:t>
      </w:r>
      <w:r>
        <w:rPr>
          <w:rFonts w:ascii="Times New Roman" w:hAnsi="Times New Roman"/>
          <w:sz w:val="28"/>
          <w:szCs w:val="28"/>
        </w:rPr>
      </w:r>
    </w:p>
    <w:p>
      <w:pPr>
        <w:pStyle w:val="623"/>
        <w:ind w:firstLine="709"/>
        <w:jc w:val="both"/>
        <w:spacing w:line="245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МНиИП</w:t>
      </w:r>
      <w:r>
        <w:rPr>
          <w:rFonts w:ascii="Times New Roman" w:hAnsi="Times New Roman"/>
          <w:sz w:val="28"/>
          <w:szCs w:val="28"/>
        </w:rPr>
        <w:t xml:space="preserve"> НСО вправе устанавливать в договоре дополнительные формы отчетности, а именно:</w:t>
      </w:r>
      <w:r>
        <w:rPr>
          <w:rFonts w:ascii="Times New Roman" w:hAnsi="Times New Roman"/>
          <w:sz w:val="28"/>
          <w:szCs w:val="28"/>
        </w:rPr>
      </w:r>
    </w:p>
    <w:p>
      <w:pPr>
        <w:pStyle w:val="623"/>
        <w:ind w:firstLine="709"/>
        <w:jc w:val="both"/>
        <w:spacing w:line="245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 научно-исследовательской работе в соответствии с ГОСТ 7.32-2017;</w:t>
      </w:r>
      <w:r>
        <w:rPr>
          <w:rFonts w:ascii="Times New Roman" w:hAnsi="Times New Roman"/>
          <w:sz w:val="28"/>
          <w:szCs w:val="28"/>
        </w:rPr>
      </w:r>
    </w:p>
    <w:p>
      <w:pPr>
        <w:pStyle w:val="623"/>
        <w:ind w:firstLine="709"/>
        <w:jc w:val="both"/>
        <w:spacing w:line="245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пояснительную записку к годовому отчету о достижении значений результатов предоставления субсидии.</w:t>
      </w:r>
      <w:r>
        <w:rPr>
          <w:rFonts w:ascii="Times New Roman" w:hAnsi="Times New Roman"/>
          <w:sz w:val="28"/>
          <w:szCs w:val="28"/>
        </w:rPr>
      </w:r>
    </w:p>
    <w:p>
      <w:pPr>
        <w:pStyle w:val="623"/>
        <w:ind w:firstLine="709"/>
        <w:jc w:val="both"/>
        <w:spacing w:line="245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Пояснительная записка </w:t>
      </w:r>
      <w:r>
        <w:rPr>
          <w:rFonts w:ascii="Times New Roman" w:hAnsi="Times New Roman"/>
          <w:sz w:val="28"/>
          <w:szCs w:val="28"/>
        </w:rPr>
        <w:t xml:space="preserve">составляется в целях пояснения содержания годового отчета о достижении значений результатов предоставления субсидии и содержит уточняющую информацию о произведенных расходах и результатах предоставления субсидии.</w:t>
      </w:r>
      <w:r>
        <w:rPr>
          <w:rFonts w:ascii="Times New Roman" w:hAnsi="Times New Roman"/>
          <w:sz w:val="28"/>
          <w:szCs w:val="28"/>
        </w:rPr>
      </w:r>
    </w:p>
    <w:p>
      <w:pPr>
        <w:pStyle w:val="623"/>
        <w:ind w:firstLine="709"/>
        <w:jc w:val="both"/>
        <w:spacing w:line="245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Отчетными годами являются года реализации проекта.</w:t>
      </w:r>
      <w:r>
        <w:rPr>
          <w:rFonts w:ascii="Times New Roman" w:hAnsi="Times New Roman"/>
          <w:sz w:val="28"/>
          <w:szCs w:val="28"/>
        </w:rPr>
      </w:r>
    </w:p>
    <w:p>
      <w:pPr>
        <w:pStyle w:val="623"/>
        <w:jc w:val="both"/>
        <w:spacing w:line="245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Контактные данные: 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Цой Андрей Викторович, начальник отдела министерства науки и инновационной политики Новосибирской области, тел.: 238</w:t>
      </w:r>
      <w:r>
        <w:rPr>
          <w:rFonts w:ascii="Times New Roman" w:hAnsi="Times New Roman" w:cs="Times New Roman"/>
          <w:sz w:val="28"/>
          <w:szCs w:val="28"/>
        </w:rPr>
        <w:t xml:space="preserve"> 73 </w:t>
      </w:r>
      <w:r>
        <w:rPr>
          <w:rFonts w:ascii="Times New Roman" w:hAnsi="Times New Roman" w:cs="Times New Roman"/>
          <w:sz w:val="28"/>
          <w:szCs w:val="28"/>
        </w:rPr>
        <w:t xml:space="preserve">99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tooltip="mailto:tsoy@nso.ru" w:history="1">
        <w:r>
          <w:rPr>
            <w:rStyle w:val="626"/>
            <w:rFonts w:ascii="Times New Roman" w:hAnsi="Times New Roman" w:cs="Times New Roman"/>
            <w:sz w:val="28"/>
            <w:szCs w:val="28"/>
            <w:lang w:val="en-US"/>
          </w:rPr>
          <w:t xml:space="preserve">tsoy</w:t>
        </w:r>
        <w:r>
          <w:rPr>
            <w:rStyle w:val="626"/>
            <w:rFonts w:ascii="Times New Roman" w:hAnsi="Times New Roman" w:cs="Times New Roman"/>
            <w:sz w:val="28"/>
            <w:szCs w:val="28"/>
          </w:rPr>
          <w:t xml:space="preserve">@</w:t>
        </w:r>
        <w:r>
          <w:rPr>
            <w:rStyle w:val="626"/>
            <w:rFonts w:ascii="Times New Roman" w:hAnsi="Times New Roman" w:cs="Times New Roman"/>
            <w:sz w:val="28"/>
            <w:szCs w:val="28"/>
            <w:lang w:val="en-US"/>
          </w:rPr>
          <w:t xml:space="preserve">nso</w:t>
        </w:r>
        <w:r>
          <w:rPr>
            <w:rStyle w:val="626"/>
            <w:rFonts w:ascii="Times New Roman" w:hAnsi="Times New Roman" w:cs="Times New Roman"/>
            <w:sz w:val="28"/>
            <w:szCs w:val="28"/>
          </w:rPr>
          <w:t xml:space="preserve">.</w:t>
        </w:r>
        <w:r>
          <w:rPr>
            <w:rStyle w:val="626"/>
            <w:rFonts w:ascii="Times New Roman" w:hAnsi="Times New Roman" w:cs="Times New Roman"/>
            <w:sz w:val="28"/>
            <w:szCs w:val="28"/>
            <w:lang w:val="en-US"/>
          </w:rPr>
          <w:t xml:space="preserve"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Бочкарев Сергей Валерьевич, консультант министерства науки и инновационной политики Новосибирской области, тел.: 238 74 01,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tooltip="mailto:bosv@nso.ru" w:history="1">
        <w:r>
          <w:rPr>
            <w:rStyle w:val="626"/>
            <w:rFonts w:ascii="Times New Roman" w:hAnsi="Times New Roman" w:cs="Times New Roman"/>
            <w:sz w:val="28"/>
            <w:szCs w:val="28"/>
            <w:lang w:val="en-US"/>
          </w:rPr>
          <w:t xml:space="preserve">bosv</w:t>
        </w:r>
        <w:r>
          <w:rPr>
            <w:rStyle w:val="626"/>
            <w:rFonts w:ascii="Times New Roman" w:hAnsi="Times New Roman" w:cs="Times New Roman"/>
            <w:sz w:val="28"/>
            <w:szCs w:val="28"/>
          </w:rPr>
          <w:t xml:space="preserve">@</w:t>
        </w:r>
        <w:r>
          <w:rPr>
            <w:rStyle w:val="626"/>
            <w:rFonts w:ascii="Times New Roman" w:hAnsi="Times New Roman" w:cs="Times New Roman"/>
            <w:sz w:val="28"/>
            <w:szCs w:val="28"/>
            <w:lang w:val="en-US"/>
          </w:rPr>
          <w:t xml:space="preserve">nso</w:t>
        </w:r>
        <w:r>
          <w:rPr>
            <w:rStyle w:val="626"/>
            <w:rFonts w:ascii="Times New Roman" w:hAnsi="Times New Roman" w:cs="Times New Roman"/>
            <w:sz w:val="28"/>
            <w:szCs w:val="28"/>
          </w:rPr>
          <w:t xml:space="preserve">.</w:t>
        </w:r>
        <w:r>
          <w:rPr>
            <w:rStyle w:val="626"/>
            <w:rFonts w:ascii="Times New Roman" w:hAnsi="Times New Roman" w:cs="Times New Roman"/>
            <w:sz w:val="28"/>
            <w:szCs w:val="28"/>
            <w:lang w:val="en-US"/>
          </w:rPr>
          <w:t xml:space="preserve"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Кривко Полина Николаевна, главный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науки и инновационной политики Новосибирской области (тел. 238-75-52, </w:t>
      </w:r>
      <w:r>
        <w:rPr>
          <w:rFonts w:ascii="Times New Roman" w:hAnsi="Times New Roman" w:cs="Times New Roman"/>
          <w:sz w:val="28"/>
          <w:szCs w:val="28"/>
        </w:rPr>
        <w:t xml:space="preserve">email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tooltip="mailto:krpn@nso.ru" w:history="1">
        <w:r>
          <w:rPr>
            <w:rStyle w:val="626"/>
            <w:rFonts w:ascii="Times New Roman" w:hAnsi="Times New Roman" w:cs="Times New Roman"/>
            <w:sz w:val="28"/>
            <w:szCs w:val="28"/>
          </w:rPr>
          <w:t xml:space="preserve">krpn@nso.ru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709" w:hanging="709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Подробная информация размещена по адресу: 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left="709" w:hanging="709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http://nauka.nso.ru/page/1104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623"/>
        <w:ind w:left="709" w:hanging="709"/>
        <w:jc w:val="both"/>
        <w:spacing w:line="245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left="709" w:hanging="709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sectPr>
      <w:footnotePr/>
      <w:endnotePr/>
      <w:type w:val="nextPage"/>
      <w:pgSz w:w="11906" w:h="16838" w:orient="portrait"/>
      <w:pgMar w:top="568" w:right="567" w:bottom="568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9"/>
    <w:next w:val="61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2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9"/>
    <w:next w:val="61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2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9"/>
    <w:next w:val="61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9"/>
    <w:next w:val="61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9"/>
    <w:next w:val="61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9"/>
    <w:next w:val="61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9"/>
    <w:next w:val="61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9"/>
    <w:next w:val="61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9"/>
    <w:next w:val="61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9"/>
    <w:next w:val="61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20"/>
    <w:link w:val="34"/>
    <w:uiPriority w:val="10"/>
    <w:rPr>
      <w:sz w:val="48"/>
      <w:szCs w:val="48"/>
    </w:rPr>
  </w:style>
  <w:style w:type="paragraph" w:styleId="36">
    <w:name w:val="Subtitle"/>
    <w:basedOn w:val="619"/>
    <w:next w:val="61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0"/>
    <w:link w:val="36"/>
    <w:uiPriority w:val="11"/>
    <w:rPr>
      <w:sz w:val="24"/>
      <w:szCs w:val="24"/>
    </w:rPr>
  </w:style>
  <w:style w:type="paragraph" w:styleId="38">
    <w:name w:val="Quote"/>
    <w:basedOn w:val="619"/>
    <w:next w:val="61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9"/>
    <w:next w:val="61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0"/>
    <w:link w:val="42"/>
    <w:uiPriority w:val="99"/>
  </w:style>
  <w:style w:type="paragraph" w:styleId="44">
    <w:name w:val="Footer"/>
    <w:basedOn w:val="61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0"/>
    <w:link w:val="44"/>
    <w:uiPriority w:val="99"/>
  </w:style>
  <w:style w:type="paragraph" w:styleId="46">
    <w:name w:val="Caption"/>
    <w:basedOn w:val="619"/>
    <w:next w:val="61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2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1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0"/>
    <w:uiPriority w:val="99"/>
    <w:unhideWhenUsed/>
    <w:rPr>
      <w:vertAlign w:val="superscript"/>
    </w:rPr>
  </w:style>
  <w:style w:type="paragraph" w:styleId="178">
    <w:name w:val="endnote text"/>
    <w:basedOn w:val="61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0"/>
    <w:uiPriority w:val="99"/>
    <w:semiHidden/>
    <w:unhideWhenUsed/>
    <w:rPr>
      <w:vertAlign w:val="superscript"/>
    </w:rPr>
  </w:style>
  <w:style w:type="paragraph" w:styleId="181">
    <w:name w:val="toc 1"/>
    <w:basedOn w:val="619"/>
    <w:next w:val="61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9"/>
    <w:next w:val="61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9"/>
    <w:next w:val="61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9"/>
    <w:next w:val="61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9"/>
    <w:next w:val="61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9"/>
    <w:next w:val="61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9"/>
    <w:next w:val="61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9"/>
    <w:next w:val="61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9"/>
    <w:next w:val="61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9"/>
    <w:next w:val="619"/>
    <w:uiPriority w:val="99"/>
    <w:unhideWhenUsed/>
    <w:pPr>
      <w:spacing w:after="0" w:afterAutospacing="0"/>
    </w:pPr>
  </w:style>
  <w:style w:type="paragraph" w:styleId="619" w:default="1">
    <w:name w:val="Normal"/>
    <w:qFormat/>
  </w:style>
  <w:style w:type="character" w:styleId="620" w:default="1">
    <w:name w:val="Default Paragraph Font"/>
    <w:uiPriority w:val="1"/>
    <w:semiHidden/>
    <w:unhideWhenUsed/>
  </w:style>
  <w:style w:type="table" w:styleId="6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2" w:default="1">
    <w:name w:val="No List"/>
    <w:uiPriority w:val="99"/>
    <w:semiHidden/>
    <w:unhideWhenUsed/>
  </w:style>
  <w:style w:type="paragraph" w:styleId="623" w:customStyle="1">
    <w:name w:val="ConsPlusNormal"/>
    <w:link w:val="625"/>
    <w:qFormat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624">
    <w:name w:val="List Paragraph"/>
    <w:basedOn w:val="619"/>
    <w:uiPriority w:val="34"/>
    <w:qFormat/>
    <w:pPr>
      <w:contextualSpacing/>
      <w:ind w:left="720"/>
    </w:pPr>
  </w:style>
  <w:style w:type="character" w:styleId="625" w:customStyle="1">
    <w:name w:val="ConsPlusNormal Знак"/>
    <w:link w:val="623"/>
    <w:rPr>
      <w:rFonts w:ascii="Calibri" w:hAnsi="Calibri" w:eastAsia="Times New Roman" w:cs="Calibri"/>
      <w:szCs w:val="20"/>
      <w:lang w:eastAsia="ru-RU"/>
    </w:rPr>
  </w:style>
  <w:style w:type="character" w:styleId="626">
    <w:name w:val="Hyperlink"/>
    <w:basedOn w:val="62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mailto:tsoy@nso.ru" TargetMode="External"/><Relationship Id="rId10" Type="http://schemas.openxmlformats.org/officeDocument/2006/relationships/hyperlink" Target="mailto:bosv@nso.ru" TargetMode="External"/><Relationship Id="rId11" Type="http://schemas.openxmlformats.org/officeDocument/2006/relationships/hyperlink" Target="mailto:krpn@nso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>PNO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Бочкарев Сергей Валерьевич</dc:creator>
  <cp:keywords/>
  <dc:description/>
  <cp:revision>27</cp:revision>
  <dcterms:created xsi:type="dcterms:W3CDTF">2023-03-17T04:21:00Z</dcterms:created>
  <dcterms:modified xsi:type="dcterms:W3CDTF">2024-01-25T03:10:35Z</dcterms:modified>
</cp:coreProperties>
</file>